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736" w:rsidRPr="00EB1F85" w:rsidRDefault="00CF3736" w:rsidP="00CF37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hAnsi="Times New Roman" w:cs="Times New Roman"/>
          <w:b/>
          <w:sz w:val="28"/>
          <w:szCs w:val="28"/>
        </w:rPr>
        <w:t>Корпоративный подоходный налог</w:t>
      </w:r>
    </w:p>
    <w:p w:rsidR="00CF3736" w:rsidRPr="00EB1F85" w:rsidRDefault="00CF3736" w:rsidP="00CF37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3736" w:rsidRPr="00EB1F85" w:rsidRDefault="00CF3736" w:rsidP="00CF373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(Раздел 7 Корпоративный подоходный налог, главы 27-34, статьи 222-315 – НК РК на 01.01.2020)</w:t>
      </w:r>
    </w:p>
    <w:p w:rsidR="00CF3736" w:rsidRPr="00EB1F85" w:rsidRDefault="00CF3736" w:rsidP="00CF3736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1. Совокупный годовой доход (СГД)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2. Вычеты из  совокупного годового дохода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3. Вычеты по фиксированным активам</w:t>
      </w:r>
    </w:p>
    <w:p w:rsidR="00CF3736" w:rsidRPr="00EB1F85" w:rsidRDefault="00CF3736" w:rsidP="00CF3736">
      <w:pPr>
        <w:spacing w:after="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B1F85">
        <w:rPr>
          <w:rFonts w:ascii="Times New Roman" w:eastAsia="Times New Roman" w:hAnsi="Times New Roman" w:cs="Times New Roman"/>
          <w:kern w:val="36"/>
          <w:sz w:val="27"/>
          <w:szCs w:val="27"/>
          <w:lang w:eastAsia="ru-RU"/>
        </w:rPr>
        <w:t>4. Механизм исчисления и сроки уплаты корпоративного подоходного  налога.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 Совокупный годовой доход (СГД)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Важнейшим прямым налогом, взимаемым с юридических лиц, является корпоративный подоходный налог. К плательщикам корпоративного подоходного налога относятся юридические лица-резиденты РК, за исключением государственных учреждений, а также юридические лица - нерезиденты, осуществляющие деятельность в РК через постоян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ное учреждение или получающие доходы из источников в РК.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Объектами обложения корпоративным подоходным налогом являются: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     1) налогооблагаемый доход;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     2) доход, облагаемый у источника выплаты;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     3) чистый доход юридического лица-нерезидента, осуществляющего деятельность в Республике Казахстан через постоянное учреждение.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Налогооблагаемый доход определяется как разница между совокупным годовым доходом с учетом корректировок и вычетами.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Совокупный годовой доход налогоплательщика-резидента состо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ит из доходов, полученных налогоплательщиком в РК и за предела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ми РК в течение календарного года. СГД налогоплательщика-нерезидента состоит из доходов, полученных их казахстанских источников в течение календарного года.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совокупный годовой доход включаются, например: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1) доход от реализации;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2) доход от прироста стоимости при реализации зданий, соору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жений, а также активов, не подлежащих амортизации;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3) доходы от сдачи в аренду имущества;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4) доход от превышения стоимости выбывших фиксированных ак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тивов над стоимостным балансом подгруппы;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5) присужденные или признанные должником штрафы, пени и другие виды санкций, кроме возвращенных из бюджета необосно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ванно удержанных ранее штрафов, если эти суммы ранее не были отнесены на вычеты;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6) безвозмездно полученное имущество, выполненные работы, предоставленные услуги;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7) вознаграждения (интересы);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8) превышение суммы положительной курсовой разницы над суммой отрицательной курсовой разницы;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9) доход, полученный при эксп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луатации объектов социальной сферы.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Из совокупного годового дохода налогоплатель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щиков подлежат исключению, например: дивиденды, полученные от юридического лица-резидента Республики Казахстан, ранее обложенные у источника выплаты в Республике Казахстан.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68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2 Вычеты их СГД</w:t>
      </w:r>
    </w:p>
    <w:p w:rsidR="00CF3736" w:rsidRPr="00EB1F85" w:rsidRDefault="00CF3736" w:rsidP="00CF3736">
      <w:pPr>
        <w:spacing w:after="0" w:line="240" w:lineRule="auto"/>
        <w:ind w:firstLine="68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определении налогооблагаемого дохода из СГД подлежат вычету, например: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1) Расходы налогоплательщика в связи с осуществлением деятельности, направленной на получение дохода, подлежат вычету при определении налогооблагаемого дохода за исключением расходов, не подлежащих вычету в соответствии с Налоговым Кодексом.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Вычеты производятся при наличии документов, подтверждающих расходы, связанные с получением СГД.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2) Присужденные или признан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ные штрафы, пени, неустойки, связанные с получе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нием совокупного годового дохода, за исключением подлежащих внесению в государственный бюджет.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3) Суммы компенсаций при служебных командировках и представи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тельские расходы.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К представительским расходам относятся расхо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ды налогоплательщика по приему и обслуживанию лиц, производимые в целях установления или поддержания взаимного сотрудничества. Представительские расходы относятся на вычеты в пределах норм, установленных Правительством Республики Казахстан.  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4) Вычеты по вознаграждению.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5) Вычет расходов на социальные выплаты.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6) Превышение отрицательной курсовой разницы над положительной курсовой разницей.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7) Вычет  налогов.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подлежат вычету при определении налогооблагаемого дохода: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1) расходы, не связанные с получением дохода;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2) штрафы и пени, подлежащие внесению (внесен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ные) в государственный бюджет;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3) расходы, связанные с получением совокупного годового дохода, превышающие установленные Налоговым Кодексом нормы отнесения на вычеты.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 Вычеты по фиксированным активам (ФА)</w:t>
      </w: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К фиксированным активам относятся основные средства, инвестиции в недвижимость, нематериальные и биологические активы, учтенные при поступлении в бухгалтерском учете налогоплательщика в соответствии с международными стандартами финансовой отчетности и требованиями законодательства Республики Казахстан.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К вычетам по ФА относятся суммы амортизационных отчислений.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К фиксированным активам, не подлежащим амортизации, относятся, например: земля; продуктивный скот; музейные ценности; памятники архитектуры и искусства; автомобильные дороги, тротуары, бульвары, скверы общего пользования;  незавершенное капитальное строительство.</w:t>
      </w:r>
      <w:proofErr w:type="gramEnd"/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Подлежащие </w:t>
      </w:r>
      <w:proofErr w:type="gram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амортизации</w:t>
      </w:r>
      <w:proofErr w:type="gram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фиксированные ак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тивы распределяются по группам и  подгруппам.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Амортизационные отчисления по каждой группе (под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группе) подсчитываются путем применения нормы амортизации, но не выше предельной, к стоимостному ба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лансу группы (подгруппы) на конец налогового периода. По зданиям, строениям и сооружениям аморти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зационные отчисления определяются по каждому объекту отдельно.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pacing w:val="60"/>
          <w:sz w:val="27"/>
          <w:szCs w:val="27"/>
          <w:lang w:eastAsia="ru-RU"/>
        </w:rPr>
        <w:t>Таблица 1</w:t>
      </w:r>
      <w:r w:rsidRPr="00EB1F85">
        <w:rPr>
          <w:rFonts w:ascii="Times New Roman" w:eastAsia="Times New Roman" w:hAnsi="Times New Roman" w:cs="Times New Roman"/>
          <w:spacing w:val="20"/>
          <w:sz w:val="27"/>
          <w:szCs w:val="27"/>
          <w:lang w:eastAsia="ru-RU"/>
        </w:rPr>
        <w:t> 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– Группы фиксированных активов</w:t>
      </w: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5310"/>
        <w:gridCol w:w="2340"/>
      </w:tblGrid>
      <w:tr w:rsidR="00CF3736" w:rsidRPr="00EB1F85" w:rsidTr="00024DA9">
        <w:trPr>
          <w:trHeight w:val="345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группы</w:t>
            </w:r>
          </w:p>
        </w:tc>
        <w:tc>
          <w:tcPr>
            <w:tcW w:w="5310" w:type="dxa"/>
            <w:tcBorders>
              <w:top w:val="outset" w:sz="8" w:space="0" w:color="000000"/>
              <w:left w:val="nil"/>
              <w:bottom w:val="double" w:sz="4" w:space="0" w:color="auto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фиксированных активов</w:t>
            </w:r>
          </w:p>
        </w:tc>
        <w:tc>
          <w:tcPr>
            <w:tcW w:w="2340" w:type="dxa"/>
            <w:tcBorders>
              <w:top w:val="outset" w:sz="8" w:space="0" w:color="000000"/>
              <w:left w:val="nil"/>
              <w:bottom w:val="double" w:sz="4" w:space="0" w:color="auto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Предельная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норма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амортизации</w:t>
            </w:r>
            <w:proofErr w:type="gramStart"/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(%)</w:t>
            </w:r>
            <w:proofErr w:type="gramEnd"/>
          </w:p>
        </w:tc>
      </w:tr>
      <w:tr w:rsidR="00CF3736" w:rsidRPr="00EB1F85" w:rsidTr="00024DA9">
        <w:trPr>
          <w:trHeight w:val="345"/>
        </w:trPr>
        <w:tc>
          <w:tcPr>
            <w:tcW w:w="1185" w:type="dxa"/>
            <w:tcBorders>
              <w:top w:val="nil"/>
              <w:left w:val="single" w:sz="8" w:space="0" w:color="auto"/>
              <w:bottom w:val="outset" w:sz="8" w:space="0" w:color="000000"/>
              <w:right w:val="single" w:sz="8" w:space="0" w:color="auto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</w:t>
            </w:r>
          </w:p>
        </w:tc>
        <w:tc>
          <w:tcPr>
            <w:tcW w:w="531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Здания, сооружения, за исключением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нефтяных, газовых скважин и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передаточных устройств</w:t>
            </w:r>
          </w:p>
        </w:tc>
        <w:tc>
          <w:tcPr>
            <w:tcW w:w="23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CF3736" w:rsidRPr="00EB1F85" w:rsidTr="00024DA9">
        <w:trPr>
          <w:trHeight w:val="330"/>
        </w:trPr>
        <w:tc>
          <w:tcPr>
            <w:tcW w:w="1185" w:type="dxa"/>
            <w:tcBorders>
              <w:top w:val="nil"/>
              <w:left w:val="single" w:sz="8" w:space="0" w:color="auto"/>
              <w:bottom w:val="outset" w:sz="8" w:space="0" w:color="000000"/>
              <w:right w:val="single" w:sz="8" w:space="0" w:color="auto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II</w:t>
            </w:r>
          </w:p>
        </w:tc>
        <w:tc>
          <w:tcPr>
            <w:tcW w:w="531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Машины и оборудование, за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исключением машин и оборудования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proofErr w:type="spellStart"/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нефтегазодобычи</w:t>
            </w:r>
            <w:proofErr w:type="spellEnd"/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а также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компьютеров и оборудования для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обработки информации</w:t>
            </w:r>
          </w:p>
        </w:tc>
        <w:tc>
          <w:tcPr>
            <w:tcW w:w="23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25</w:t>
            </w:r>
          </w:p>
        </w:tc>
      </w:tr>
      <w:tr w:rsidR="00CF3736" w:rsidRPr="00EB1F85" w:rsidTr="00024DA9">
        <w:trPr>
          <w:trHeight w:val="195"/>
        </w:trPr>
        <w:tc>
          <w:tcPr>
            <w:tcW w:w="1185" w:type="dxa"/>
            <w:tcBorders>
              <w:top w:val="nil"/>
              <w:left w:val="single" w:sz="8" w:space="0" w:color="auto"/>
              <w:bottom w:val="outset" w:sz="8" w:space="0" w:color="000000"/>
              <w:right w:val="single" w:sz="8" w:space="0" w:color="auto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III</w:t>
            </w:r>
          </w:p>
        </w:tc>
        <w:tc>
          <w:tcPr>
            <w:tcW w:w="531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Компьютеры и оборудование для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обработки информации</w:t>
            </w:r>
          </w:p>
        </w:tc>
        <w:tc>
          <w:tcPr>
            <w:tcW w:w="23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</w:p>
        </w:tc>
      </w:tr>
      <w:tr w:rsidR="00CF3736" w:rsidRPr="00EB1F85" w:rsidTr="00024DA9">
        <w:trPr>
          <w:trHeight w:val="195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IV</w:t>
            </w:r>
          </w:p>
        </w:tc>
        <w:tc>
          <w:tcPr>
            <w:tcW w:w="531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Фиксированные активы, не включенные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в другие группы, в том числе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нефтяные, газовые скважины,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передаточные устройства, машины и</w:t>
            </w: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 xml:space="preserve">оборудование </w:t>
            </w:r>
            <w:proofErr w:type="spellStart"/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нефтегазодобычи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hideMark/>
          </w:tcPr>
          <w:p w:rsidR="00CF3736" w:rsidRPr="00EB1F85" w:rsidRDefault="00CF3736" w:rsidP="0002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8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</w:t>
            </w:r>
          </w:p>
        </w:tc>
      </w:tr>
    </w:tbl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каждой амортизационной группе (подгруппе) на на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чало налогового периода определяются итоговые сум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мы, называемые стоимостным балансом группы (СБГ).</w:t>
      </w: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                         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СБГн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СБГк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А - К,                                                (1)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где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СБГн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стоимостный баланс группы на начало налогового периода;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СБГк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стоимостный баланс группы на конец предыдущего налогового периода;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А - сумма амортизационных отчислений, исчисленных в предыдущем налоговом периоде;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proofErr w:type="gram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корректировки.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           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СБГк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СБГн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ФАпост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.-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ФАвыб</w:t>
      </w:r>
      <w:proofErr w:type="spellEnd"/>
      <w:proofErr w:type="gram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К</w:t>
      </w:r>
      <w:proofErr w:type="gram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,                                  (2)        </w:t>
      </w: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где </w:t>
      </w: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ФАпост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поступившие в налоговом периоде фиксированные активы;</w:t>
      </w:r>
    </w:p>
    <w:p w:rsidR="00CF3736" w:rsidRPr="00EB1F85" w:rsidRDefault="00CF3736" w:rsidP="00CF3736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ФАвыб</w:t>
      </w:r>
      <w:proofErr w:type="spell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выбывшие в налоговом периоде фиксированные активы.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Вычет допускается в отношении каждой группы фиксированных активов по фактическим расходам, произведенным налогоплательщиком на ремонт основных средств, входя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щих в данную группу.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Из налогооблагаемого дохода налогоплательщи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 xml:space="preserve">ка подлежат исключению в пределах трех процентов от налогооблагаемого </w:t>
      </w:r>
      <w:proofErr w:type="gram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дохода</w:t>
      </w:r>
      <w:proofErr w:type="gram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например, следующие расходы: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1) сумму превышения фактически понесенных расходов над подлежащими получению доходами при эксплуатации объектов социальной сферы;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2) безвозмездно переданное имущество некоммерческим организациям;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2-1) спонсорская помощь при наличии решения налогоплательщика на основании обращения со стороны лица, получающего помощь;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3) расходы на обучение физического лица, не состоящего с налогоплательщиком в трудовых отношениях, при условии заключения с физическим лицом договора об обязательстве отработать у налогоплательщика не менее трех лет.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Убытком от предпринимательской деятельнос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ти признается превышение вычетов над скорректи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рованным совокупным годовым доходом.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Убытки от предпринимательской деятельности, а также убытки от реализации зданий, строений, со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оружений, использованных в предпринимательской деятельности налогоплательщика, переносятся на срок до 10 лет включительно для погашения за счет налогооблагаемого дохода последующих налоговых периодов.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Toc108583421"/>
      <w:r w:rsidRPr="00EB1F8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 Механизм исчисления и сроки уплаты </w:t>
      </w:r>
      <w:bookmarkEnd w:id="0"/>
      <w:r w:rsidRPr="00EB1F8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корпоративного подоходного  налога</w:t>
      </w:r>
    </w:p>
    <w:p w:rsidR="00CF3736" w:rsidRPr="00EB1F85" w:rsidRDefault="00CF3736" w:rsidP="00CF3736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F3736" w:rsidRPr="00EB1F85" w:rsidRDefault="00CF3736" w:rsidP="00CF3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1)  Корпоративный подоходный налог исчисляется за налоговый период путем применения установ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ленной ставки к налогооблагаемому доходу с учетом корректировок, уменьшенному на сумму переносимых убытков.</w:t>
      </w:r>
    </w:p>
    <w:p w:rsidR="00CF3736" w:rsidRPr="00EB1F85" w:rsidRDefault="00CF3736" w:rsidP="00CF3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2)  Налогооблагаемый доход налогоплательщика с учетом произведенных корректировок, уменьшенный на сумму переносимых убытков, подлежит обложению налогом по ставке 20 процентов.</w:t>
      </w:r>
    </w:p>
    <w:p w:rsidR="00CF3736" w:rsidRPr="00EB1F85" w:rsidRDefault="00CF3736" w:rsidP="00CF3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3)  Налогооблагаемый доход налогоплательщика, для которого земля </w:t>
      </w:r>
      <w:proofErr w:type="gram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является основным средством производства подлежит</w:t>
      </w:r>
      <w:proofErr w:type="gramEnd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ложению налогом по ставке 10 процентов.</w:t>
      </w:r>
    </w:p>
    <w:p w:rsidR="00CF3736" w:rsidRPr="00EB1F85" w:rsidRDefault="00CF3736" w:rsidP="00CF3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4)  Доходы, облагаемые у источника выплаты, за исключением доходов нерезидентов из источников в Республике Казахстан, подлежат налогообложению у источника выплаты по ставке 15 процентов.</w:t>
      </w:r>
    </w:p>
    <w:p w:rsidR="00CF3736" w:rsidRPr="00EB1F85" w:rsidRDefault="00CF3736" w:rsidP="00CF37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5)  В дополнение к корпоративному подоходному налоговый доход юридического лица-нерезиден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та, осуществляющего деятельность в Республике Ка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захстан через постоянное учреждение, подлежит на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логообложению по ставке 20 процентов.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В течение налогового периода налогоплатель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щики уплачивают корпоративный подоходный налог путем внесения авансовых платежей.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Суммы авансовых платежей по корпоративно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му подоходному налогу, уплачиваемые в течение налогового</w:t>
      </w:r>
      <w:r w:rsidRPr="00EB1F85">
        <w:rPr>
          <w:rFonts w:ascii="Times New Roman" w:eastAsia="Times New Roman" w:hAnsi="Times New Roman" w:cs="Times New Roman"/>
          <w:caps/>
          <w:sz w:val="27"/>
          <w:szCs w:val="27"/>
          <w:lang w:eastAsia="ru-RU"/>
        </w:rPr>
        <w:t> 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периода, исчисляются налогоплательщиком исходя из  предполагаемой суммы корпоративного подоходного налога за текущий налоговый период, но не менее начисленных сумм среднемесячных авансовых платежей в расчетах сумм авансовых платежей за предыдущий налоговый период.</w:t>
      </w:r>
      <w:proofErr w:type="gramEnd"/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Налогоплательщики обязаны вносить в бюджет авансовые платежи по корпоративному подоходному налогу ежемесячно в течение налогового периода, не позднее 25 числа текущего месяца.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Налогоплательщик осуществляет окончатель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ный расчет (уплату) по корпоративному подоходно</w:t>
      </w: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softHyphen/>
        <w:t>му налогу по итогам налогового периода не позднее 10-ти рабочих дней после срока, установленного для сдачи декларации  (31 марта).</w:t>
      </w:r>
    </w:p>
    <w:p w:rsidR="00CF3736" w:rsidRPr="00EB1F85" w:rsidRDefault="00CF3736" w:rsidP="00CF373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B1F85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5B46DD" w:rsidRDefault="005B46DD">
      <w:bookmarkStart w:id="1" w:name="_GoBack"/>
      <w:bookmarkEnd w:id="1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73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CF3736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37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37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2020-09-25T08:15:00Z</dcterms:created>
  <dcterms:modified xsi:type="dcterms:W3CDTF">2020-09-25T08:16:00Z</dcterms:modified>
</cp:coreProperties>
</file>